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190E2" w14:textId="072DA255" w:rsidR="000A4624" w:rsidRDefault="00752218">
      <w:pPr>
        <w:pStyle w:val="BodyText"/>
        <w:ind w:left="0"/>
        <w:rPr>
          <w:rFonts w:ascii="Times New Roman"/>
          <w:sz w:val="20"/>
        </w:rPr>
      </w:pPr>
      <w:r>
        <w:rPr>
          <w:noProof/>
        </w:rPr>
        <w:drawing>
          <wp:anchor distT="0" distB="0" distL="114300" distR="114300" simplePos="0" relativeHeight="251659264" behindDoc="0" locked="0" layoutInCell="1" allowOverlap="1" wp14:anchorId="76422A5B" wp14:editId="24CA26D9">
            <wp:simplePos x="0" y="0"/>
            <wp:positionH relativeFrom="column">
              <wp:posOffset>4819650</wp:posOffset>
            </wp:positionH>
            <wp:positionV relativeFrom="paragraph">
              <wp:posOffset>-201</wp:posOffset>
            </wp:positionV>
            <wp:extent cx="895185" cy="825500"/>
            <wp:effectExtent l="0" t="0" r="635"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895185" cy="825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08AAFBFA" wp14:editId="43ED16FA">
            <wp:simplePos x="0" y="0"/>
            <wp:positionH relativeFrom="column">
              <wp:posOffset>0</wp:posOffset>
            </wp:positionH>
            <wp:positionV relativeFrom="paragraph">
              <wp:posOffset>1</wp:posOffset>
            </wp:positionV>
            <wp:extent cx="895185" cy="825500"/>
            <wp:effectExtent l="0" t="0" r="635" b="0"/>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898845" cy="828875"/>
                    </a:xfrm>
                    <a:prstGeom prst="rect">
                      <a:avLst/>
                    </a:prstGeom>
                  </pic:spPr>
                </pic:pic>
              </a:graphicData>
            </a:graphic>
            <wp14:sizeRelH relativeFrom="margin">
              <wp14:pctWidth>0</wp14:pctWidth>
            </wp14:sizeRelH>
            <wp14:sizeRelV relativeFrom="margin">
              <wp14:pctHeight>0</wp14:pctHeight>
            </wp14:sizeRelV>
          </wp:anchor>
        </w:drawing>
      </w:r>
    </w:p>
    <w:p w14:paraId="6E658178" w14:textId="665812AD" w:rsidR="00752218" w:rsidRPr="00600DD8" w:rsidRDefault="00752218">
      <w:pPr>
        <w:pStyle w:val="Title"/>
        <w:spacing w:before="228"/>
        <w:ind w:right="2410"/>
        <w:rPr>
          <w:color w:val="0070C0"/>
        </w:rPr>
      </w:pPr>
      <w:r w:rsidRPr="00600DD8">
        <w:rPr>
          <w:color w:val="0070C0"/>
        </w:rPr>
        <w:t>Thomas Eaton Primary Academy</w:t>
      </w:r>
    </w:p>
    <w:p w14:paraId="11D190E3" w14:textId="323DC7FA" w:rsidR="000A4624" w:rsidRPr="00600DD8" w:rsidRDefault="00752218">
      <w:pPr>
        <w:pStyle w:val="Title"/>
        <w:spacing w:before="228"/>
        <w:ind w:right="2410"/>
        <w:rPr>
          <w:color w:val="0070C0"/>
        </w:rPr>
      </w:pPr>
      <w:r w:rsidRPr="00600DD8">
        <w:rPr>
          <w:color w:val="0070C0"/>
          <w:spacing w:val="-4"/>
        </w:rPr>
        <w:t xml:space="preserve"> </w:t>
      </w:r>
      <w:r w:rsidRPr="00600DD8">
        <w:rPr>
          <w:color w:val="0070C0"/>
          <w:spacing w:val="-2"/>
        </w:rPr>
        <w:t>Mathematics</w:t>
      </w:r>
    </w:p>
    <w:p w14:paraId="11D190E4" w14:textId="77777777" w:rsidR="000A4624" w:rsidRDefault="000A4624">
      <w:pPr>
        <w:pStyle w:val="BodyText"/>
        <w:spacing w:before="1"/>
        <w:ind w:left="0"/>
        <w:rPr>
          <w:b/>
          <w:sz w:val="32"/>
        </w:rPr>
      </w:pPr>
    </w:p>
    <w:p w14:paraId="11D190E5" w14:textId="77777777" w:rsidR="000A4624" w:rsidRDefault="00752218">
      <w:pPr>
        <w:pStyle w:val="Title"/>
      </w:pPr>
      <w:r>
        <w:t>The</w:t>
      </w:r>
      <w:r>
        <w:rPr>
          <w:spacing w:val="-1"/>
        </w:rPr>
        <w:t xml:space="preserve"> </w:t>
      </w:r>
      <w:r>
        <w:t>Year</w:t>
      </w:r>
      <w:r>
        <w:rPr>
          <w:spacing w:val="-2"/>
        </w:rPr>
        <w:t xml:space="preserve"> </w:t>
      </w:r>
      <w:r>
        <w:t xml:space="preserve">6 </w:t>
      </w:r>
      <w:r>
        <w:rPr>
          <w:spacing w:val="-2"/>
        </w:rPr>
        <w:t>Learner</w:t>
      </w:r>
    </w:p>
    <w:p w14:paraId="11D190E6" w14:textId="77777777" w:rsidR="000A4624" w:rsidRDefault="000A4624">
      <w:pPr>
        <w:pStyle w:val="BodyText"/>
        <w:ind w:left="0"/>
        <w:rPr>
          <w:b/>
          <w:sz w:val="16"/>
        </w:rPr>
      </w:pPr>
    </w:p>
    <w:p w14:paraId="11D190E7" w14:textId="77777777" w:rsidR="000A4624" w:rsidRDefault="00752218">
      <w:pPr>
        <w:pStyle w:val="Heading1"/>
        <w:spacing w:before="93"/>
      </w:pPr>
      <w:r>
        <w:t>Working</w:t>
      </w:r>
      <w:r>
        <w:rPr>
          <w:spacing w:val="-3"/>
        </w:rPr>
        <w:t xml:space="preserve"> </w:t>
      </w:r>
      <w:r>
        <w:rPr>
          <w:spacing w:val="-2"/>
        </w:rPr>
        <w:t>mathematically</w:t>
      </w:r>
    </w:p>
    <w:p w14:paraId="11D190E8" w14:textId="77777777" w:rsidR="000A4624" w:rsidRDefault="00752218">
      <w:pPr>
        <w:pStyle w:val="BodyText"/>
        <w:spacing w:before="45"/>
        <w:ind w:right="150"/>
      </w:pPr>
      <w:r>
        <w:t>By</w:t>
      </w:r>
      <w:r>
        <w:rPr>
          <w:spacing w:val="-6"/>
        </w:rPr>
        <w:t xml:space="preserve"> </w:t>
      </w:r>
      <w:r>
        <w:t>the</w:t>
      </w:r>
      <w:r>
        <w:rPr>
          <w:spacing w:val="-3"/>
        </w:rPr>
        <w:t xml:space="preserve"> </w:t>
      </w:r>
      <w:r>
        <w:t>end</w:t>
      </w:r>
      <w:r>
        <w:rPr>
          <w:spacing w:val="-3"/>
        </w:rPr>
        <w:t xml:space="preserve"> </w:t>
      </w:r>
      <w:r>
        <w:t>of</w:t>
      </w:r>
      <w:r>
        <w:rPr>
          <w:spacing w:val="-3"/>
        </w:rPr>
        <w:t xml:space="preserve"> </w:t>
      </w:r>
      <w:r>
        <w:t>year</w:t>
      </w:r>
      <w:r>
        <w:rPr>
          <w:spacing w:val="-3"/>
        </w:rPr>
        <w:t xml:space="preserve"> </w:t>
      </w:r>
      <w:r>
        <w:t>6,</w:t>
      </w:r>
      <w:r>
        <w:rPr>
          <w:spacing w:val="-2"/>
        </w:rPr>
        <w:t xml:space="preserve"> </w:t>
      </w:r>
      <w:r>
        <w:t>children</w:t>
      </w:r>
      <w:r>
        <w:rPr>
          <w:spacing w:val="-2"/>
        </w:rPr>
        <w:t xml:space="preserve"> </w:t>
      </w:r>
      <w:r>
        <w:t>will</w:t>
      </w:r>
      <w:r>
        <w:rPr>
          <w:spacing w:val="-4"/>
        </w:rPr>
        <w:t xml:space="preserve"> </w:t>
      </w:r>
      <w:r>
        <w:t>structure</w:t>
      </w:r>
      <w:r>
        <w:rPr>
          <w:spacing w:val="-3"/>
        </w:rPr>
        <w:t xml:space="preserve"> </w:t>
      </w:r>
      <w:r>
        <w:t>their</w:t>
      </w:r>
      <w:r>
        <w:rPr>
          <w:spacing w:val="-5"/>
        </w:rPr>
        <w:t xml:space="preserve"> </w:t>
      </w:r>
      <w:r>
        <w:t>own</w:t>
      </w:r>
      <w:r>
        <w:rPr>
          <w:spacing w:val="-3"/>
        </w:rPr>
        <w:t xml:space="preserve"> </w:t>
      </w:r>
      <w:r>
        <w:t>investigations</w:t>
      </w:r>
      <w:r>
        <w:rPr>
          <w:spacing w:val="-3"/>
        </w:rPr>
        <w:t xml:space="preserve"> </w:t>
      </w:r>
      <w:r>
        <w:t>and</w:t>
      </w:r>
      <w:r>
        <w:rPr>
          <w:spacing w:val="-3"/>
        </w:rPr>
        <w:t xml:space="preserve"> </w:t>
      </w:r>
      <w:r>
        <w:t>solve</w:t>
      </w:r>
      <w:r>
        <w:rPr>
          <w:spacing w:val="-3"/>
        </w:rPr>
        <w:t xml:space="preserve"> </w:t>
      </w:r>
      <w:r>
        <w:t>a</w:t>
      </w:r>
      <w:r>
        <w:rPr>
          <w:spacing w:val="-2"/>
        </w:rPr>
        <w:t xml:space="preserve"> </w:t>
      </w:r>
      <w:r>
        <w:t>wide variety</w:t>
      </w:r>
      <w:r>
        <w:rPr>
          <w:spacing w:val="-2"/>
        </w:rPr>
        <w:t xml:space="preserve"> </w:t>
      </w:r>
      <w:r>
        <w:t>of increasingly</w:t>
      </w:r>
      <w:r>
        <w:rPr>
          <w:spacing w:val="-2"/>
        </w:rPr>
        <w:t xml:space="preserve"> </w:t>
      </w:r>
      <w:r>
        <w:t>complex</w:t>
      </w:r>
      <w:r>
        <w:rPr>
          <w:spacing w:val="-2"/>
        </w:rPr>
        <w:t xml:space="preserve"> </w:t>
      </w:r>
      <w:r>
        <w:t>problems.</w:t>
      </w:r>
      <w:r>
        <w:rPr>
          <w:spacing w:val="-1"/>
        </w:rPr>
        <w:t xml:space="preserve"> </w:t>
      </w:r>
      <w:r>
        <w:t>They will independently</w:t>
      </w:r>
      <w:r>
        <w:rPr>
          <w:spacing w:val="-2"/>
        </w:rPr>
        <w:t xml:space="preserve"> </w:t>
      </w:r>
      <w:r>
        <w:t>develop their</w:t>
      </w:r>
      <w:r>
        <w:rPr>
          <w:spacing w:val="-3"/>
        </w:rPr>
        <w:t xml:space="preserve"> </w:t>
      </w:r>
      <w:r>
        <w:t>own lines of enquiry and be expected to prove their solutions in a variety of ways including algebra, negative proof (use a counter example to prove the rule) and be able to communicate their results using accurate mathematical language. Children will demonstrate secure knowledge and confidence to talk in depth about mathematical concepts and explain their solutions, decisions and reasoning.</w:t>
      </w:r>
    </w:p>
    <w:p w14:paraId="11D190E9" w14:textId="77777777" w:rsidR="000A4624" w:rsidRDefault="000A4624">
      <w:pPr>
        <w:pStyle w:val="BodyText"/>
        <w:spacing w:before="1"/>
        <w:ind w:left="0"/>
        <w:rPr>
          <w:sz w:val="16"/>
        </w:rPr>
      </w:pPr>
    </w:p>
    <w:p w14:paraId="11D190EA" w14:textId="77777777" w:rsidR="000A4624" w:rsidRDefault="00752218">
      <w:pPr>
        <w:pStyle w:val="Heading1"/>
        <w:spacing w:before="92"/>
      </w:pPr>
      <w:r>
        <w:rPr>
          <w:spacing w:val="-2"/>
        </w:rPr>
        <w:t>Number</w:t>
      </w:r>
    </w:p>
    <w:p w14:paraId="11D190EB" w14:textId="77777777" w:rsidR="000A4624" w:rsidRDefault="00752218">
      <w:pPr>
        <w:pStyle w:val="ListParagraph"/>
        <w:numPr>
          <w:ilvl w:val="0"/>
          <w:numId w:val="1"/>
        </w:numPr>
        <w:tabs>
          <w:tab w:val="left" w:pos="1533"/>
          <w:tab w:val="left" w:pos="1534"/>
        </w:tabs>
        <w:rPr>
          <w:b/>
          <w:sz w:val="24"/>
        </w:rPr>
      </w:pPr>
      <w:r>
        <w:rPr>
          <w:b/>
          <w:sz w:val="24"/>
        </w:rPr>
        <w:t>Counting</w:t>
      </w:r>
      <w:r>
        <w:rPr>
          <w:b/>
          <w:spacing w:val="-8"/>
          <w:sz w:val="24"/>
        </w:rPr>
        <w:t xml:space="preserve"> </w:t>
      </w:r>
      <w:r>
        <w:rPr>
          <w:b/>
          <w:sz w:val="24"/>
        </w:rPr>
        <w:t>and</w:t>
      </w:r>
      <w:r>
        <w:rPr>
          <w:b/>
          <w:spacing w:val="-6"/>
          <w:sz w:val="24"/>
        </w:rPr>
        <w:t xml:space="preserve"> </w:t>
      </w:r>
      <w:r>
        <w:rPr>
          <w:b/>
          <w:sz w:val="24"/>
        </w:rPr>
        <w:t>understanding</w:t>
      </w:r>
      <w:r>
        <w:rPr>
          <w:b/>
          <w:spacing w:val="-6"/>
          <w:sz w:val="24"/>
        </w:rPr>
        <w:t xml:space="preserve"> </w:t>
      </w:r>
      <w:r>
        <w:rPr>
          <w:b/>
          <w:spacing w:val="-2"/>
          <w:sz w:val="24"/>
        </w:rPr>
        <w:t>numbers</w:t>
      </w:r>
    </w:p>
    <w:p w14:paraId="11D190EC" w14:textId="77777777" w:rsidR="000A4624" w:rsidRDefault="00752218">
      <w:pPr>
        <w:pStyle w:val="BodyText"/>
        <w:spacing w:before="46"/>
        <w:ind w:right="150"/>
      </w:pPr>
      <w:r>
        <w:t>Children</w:t>
      </w:r>
      <w:r>
        <w:rPr>
          <w:spacing w:val="-2"/>
        </w:rPr>
        <w:t xml:space="preserve"> </w:t>
      </w:r>
      <w:r>
        <w:t>extend</w:t>
      </w:r>
      <w:r>
        <w:rPr>
          <w:spacing w:val="-3"/>
        </w:rPr>
        <w:t xml:space="preserve"> </w:t>
      </w:r>
      <w:r>
        <w:t>and</w:t>
      </w:r>
      <w:r>
        <w:rPr>
          <w:spacing w:val="-2"/>
        </w:rPr>
        <w:t xml:space="preserve"> </w:t>
      </w:r>
      <w:r>
        <w:t>apply</w:t>
      </w:r>
      <w:r>
        <w:rPr>
          <w:spacing w:val="-5"/>
        </w:rPr>
        <w:t xml:space="preserve"> </w:t>
      </w:r>
      <w:r>
        <w:t>their</w:t>
      </w:r>
      <w:r>
        <w:rPr>
          <w:spacing w:val="-4"/>
        </w:rPr>
        <w:t xml:space="preserve"> </w:t>
      </w:r>
      <w:r>
        <w:t>knowledge</w:t>
      </w:r>
      <w:r>
        <w:rPr>
          <w:spacing w:val="-2"/>
        </w:rPr>
        <w:t xml:space="preserve"> </w:t>
      </w:r>
      <w:r>
        <w:t>of</w:t>
      </w:r>
      <w:r>
        <w:rPr>
          <w:spacing w:val="-3"/>
        </w:rPr>
        <w:t xml:space="preserve"> </w:t>
      </w:r>
      <w:r>
        <w:t>place</w:t>
      </w:r>
      <w:r>
        <w:rPr>
          <w:spacing w:val="-2"/>
        </w:rPr>
        <w:t xml:space="preserve"> </w:t>
      </w:r>
      <w:r>
        <w:t>value</w:t>
      </w:r>
      <w:r>
        <w:rPr>
          <w:spacing w:val="-3"/>
        </w:rPr>
        <w:t xml:space="preserve"> </w:t>
      </w:r>
      <w:r>
        <w:t>for</w:t>
      </w:r>
      <w:r>
        <w:rPr>
          <w:spacing w:val="-2"/>
        </w:rPr>
        <w:t xml:space="preserve"> </w:t>
      </w:r>
      <w:r>
        <w:t>numbers up</w:t>
      </w:r>
      <w:r>
        <w:rPr>
          <w:spacing w:val="-2"/>
        </w:rPr>
        <w:t xml:space="preserve"> </w:t>
      </w:r>
      <w:r>
        <w:t>to</w:t>
      </w:r>
      <w:r>
        <w:rPr>
          <w:spacing w:val="-4"/>
        </w:rPr>
        <w:t xml:space="preserve"> </w:t>
      </w:r>
      <w:r>
        <w:t>and beyond one million (including decimals and negative numbers) in a variety of situations. Special numbers are extended to include common factors, common multiples</w:t>
      </w:r>
      <w:r>
        <w:rPr>
          <w:spacing w:val="-5"/>
        </w:rPr>
        <w:t xml:space="preserve"> </w:t>
      </w:r>
      <w:r>
        <w:t>and a</w:t>
      </w:r>
      <w:r>
        <w:rPr>
          <w:spacing w:val="-3"/>
        </w:rPr>
        <w:t xml:space="preserve"> </w:t>
      </w:r>
      <w:r>
        <w:t>deeper</w:t>
      </w:r>
      <w:r>
        <w:rPr>
          <w:spacing w:val="-6"/>
        </w:rPr>
        <w:t xml:space="preserve"> </w:t>
      </w:r>
      <w:r>
        <w:t>understanding</w:t>
      </w:r>
      <w:r>
        <w:rPr>
          <w:spacing w:val="-3"/>
        </w:rPr>
        <w:t xml:space="preserve"> </w:t>
      </w:r>
      <w:r>
        <w:t>of</w:t>
      </w:r>
      <w:r>
        <w:rPr>
          <w:spacing w:val="-2"/>
        </w:rPr>
        <w:t xml:space="preserve"> </w:t>
      </w:r>
      <w:r>
        <w:t>prime</w:t>
      </w:r>
      <w:r>
        <w:rPr>
          <w:spacing w:val="-2"/>
        </w:rPr>
        <w:t xml:space="preserve"> </w:t>
      </w:r>
      <w:r>
        <w:t>numbers.</w:t>
      </w:r>
      <w:r>
        <w:rPr>
          <w:spacing w:val="-2"/>
        </w:rPr>
        <w:t xml:space="preserve"> </w:t>
      </w:r>
      <w:r>
        <w:t>Children</w:t>
      </w:r>
      <w:r>
        <w:rPr>
          <w:spacing w:val="-4"/>
        </w:rPr>
        <w:t xml:space="preserve"> </w:t>
      </w:r>
      <w:r>
        <w:t>will</w:t>
      </w:r>
      <w:r>
        <w:rPr>
          <w:spacing w:val="-3"/>
        </w:rPr>
        <w:t xml:space="preserve"> </w:t>
      </w:r>
      <w:r>
        <w:t>be</w:t>
      </w:r>
      <w:r>
        <w:rPr>
          <w:spacing w:val="-2"/>
        </w:rPr>
        <w:t xml:space="preserve"> </w:t>
      </w:r>
      <w:r>
        <w:t>able</w:t>
      </w:r>
      <w:r>
        <w:rPr>
          <w:spacing w:val="-2"/>
        </w:rPr>
        <w:t xml:space="preserve"> </w:t>
      </w:r>
      <w:r>
        <w:t>to round numbers and identify what degree of accuracy is appropriate.</w:t>
      </w:r>
    </w:p>
    <w:p w14:paraId="11D190ED" w14:textId="77777777" w:rsidR="000A4624" w:rsidRDefault="00752218">
      <w:pPr>
        <w:pStyle w:val="Heading1"/>
        <w:numPr>
          <w:ilvl w:val="0"/>
          <w:numId w:val="1"/>
        </w:numPr>
        <w:tabs>
          <w:tab w:val="left" w:pos="1533"/>
          <w:tab w:val="left" w:pos="1534"/>
        </w:tabs>
        <w:spacing w:before="92"/>
      </w:pPr>
      <w:r>
        <w:rPr>
          <w:spacing w:val="-2"/>
        </w:rPr>
        <w:t>Calculating</w:t>
      </w:r>
    </w:p>
    <w:p w14:paraId="11D190EE" w14:textId="77777777" w:rsidR="000A4624" w:rsidRDefault="00752218">
      <w:pPr>
        <w:pStyle w:val="BodyText"/>
        <w:spacing w:before="46"/>
        <w:ind w:right="131"/>
      </w:pPr>
      <w:r>
        <w:t>Children will be fluent in a wide range of mental and formal written calculation strategies for all operations, extending to long division (</w:t>
      </w:r>
      <w:proofErr w:type="gramStart"/>
      <w:r>
        <w:t>four digit</w:t>
      </w:r>
      <w:proofErr w:type="gramEnd"/>
      <w:r>
        <w:t xml:space="preserve"> numbers by two digit</w:t>
      </w:r>
      <w:r>
        <w:rPr>
          <w:spacing w:val="-3"/>
        </w:rPr>
        <w:t xml:space="preserve"> </w:t>
      </w:r>
      <w:r>
        <w:t>numbers)</w:t>
      </w:r>
      <w:r>
        <w:rPr>
          <w:spacing w:val="-4"/>
        </w:rPr>
        <w:t xml:space="preserve"> </w:t>
      </w:r>
      <w:r>
        <w:t>by</w:t>
      </w:r>
      <w:r>
        <w:rPr>
          <w:spacing w:val="-5"/>
        </w:rPr>
        <w:t xml:space="preserve"> </w:t>
      </w:r>
      <w:r>
        <w:t>the</w:t>
      </w:r>
      <w:r>
        <w:rPr>
          <w:spacing w:val="-4"/>
        </w:rPr>
        <w:t xml:space="preserve"> </w:t>
      </w:r>
      <w:r>
        <w:t>end</w:t>
      </w:r>
      <w:r>
        <w:rPr>
          <w:spacing w:val="-2"/>
        </w:rPr>
        <w:t xml:space="preserve"> </w:t>
      </w:r>
      <w:r>
        <w:t>of</w:t>
      </w:r>
      <w:r>
        <w:rPr>
          <w:spacing w:val="-2"/>
        </w:rPr>
        <w:t xml:space="preserve"> </w:t>
      </w:r>
      <w:r>
        <w:t>the year.</w:t>
      </w:r>
      <w:r>
        <w:rPr>
          <w:spacing w:val="-5"/>
        </w:rPr>
        <w:t xml:space="preserve"> </w:t>
      </w:r>
      <w:r>
        <w:t>They</w:t>
      </w:r>
      <w:r>
        <w:rPr>
          <w:spacing w:val="-5"/>
        </w:rPr>
        <w:t xml:space="preserve"> </w:t>
      </w:r>
      <w:r>
        <w:t>will</w:t>
      </w:r>
      <w:r>
        <w:rPr>
          <w:spacing w:val="-3"/>
        </w:rPr>
        <w:t xml:space="preserve"> </w:t>
      </w:r>
      <w:r>
        <w:t>apply</w:t>
      </w:r>
      <w:r>
        <w:rPr>
          <w:spacing w:val="-5"/>
        </w:rPr>
        <w:t xml:space="preserve"> </w:t>
      </w:r>
      <w:r>
        <w:t>estimation</w:t>
      </w:r>
      <w:r>
        <w:rPr>
          <w:spacing w:val="-2"/>
        </w:rPr>
        <w:t xml:space="preserve"> </w:t>
      </w:r>
      <w:r>
        <w:t>in</w:t>
      </w:r>
      <w:r>
        <w:rPr>
          <w:spacing w:val="-4"/>
        </w:rPr>
        <w:t xml:space="preserve"> </w:t>
      </w:r>
      <w:r>
        <w:t>a</w:t>
      </w:r>
      <w:r>
        <w:rPr>
          <w:spacing w:val="-3"/>
        </w:rPr>
        <w:t xml:space="preserve"> </w:t>
      </w:r>
      <w:r>
        <w:t>range</w:t>
      </w:r>
      <w:r>
        <w:rPr>
          <w:spacing w:val="-2"/>
        </w:rPr>
        <w:t xml:space="preserve"> </w:t>
      </w:r>
      <w:r>
        <w:t>of ways. Through investigations, they explore the effect of the order of operations including the use of brackets.</w:t>
      </w:r>
    </w:p>
    <w:p w14:paraId="11D190EF" w14:textId="77777777" w:rsidR="000A4624" w:rsidRDefault="00752218">
      <w:pPr>
        <w:pStyle w:val="Heading1"/>
        <w:numPr>
          <w:ilvl w:val="0"/>
          <w:numId w:val="1"/>
        </w:numPr>
        <w:tabs>
          <w:tab w:val="left" w:pos="1533"/>
          <w:tab w:val="left" w:pos="1534"/>
        </w:tabs>
        <w:spacing w:before="91"/>
      </w:pPr>
      <w:r>
        <w:t>Fractions</w:t>
      </w:r>
      <w:r>
        <w:rPr>
          <w:spacing w:val="-9"/>
        </w:rPr>
        <w:t xml:space="preserve"> </w:t>
      </w:r>
      <w:r>
        <w:t>including</w:t>
      </w:r>
      <w:r>
        <w:rPr>
          <w:spacing w:val="-8"/>
        </w:rPr>
        <w:t xml:space="preserve"> </w:t>
      </w:r>
      <w:r>
        <w:t>decimals</w:t>
      </w:r>
      <w:r>
        <w:rPr>
          <w:spacing w:val="-9"/>
        </w:rPr>
        <w:t xml:space="preserve"> </w:t>
      </w:r>
      <w:r>
        <w:t>and</w:t>
      </w:r>
      <w:r>
        <w:rPr>
          <w:spacing w:val="-9"/>
        </w:rPr>
        <w:t xml:space="preserve"> </w:t>
      </w:r>
      <w:r>
        <w:rPr>
          <w:spacing w:val="-2"/>
        </w:rPr>
        <w:t>percentages</w:t>
      </w:r>
    </w:p>
    <w:p w14:paraId="11D190F0" w14:textId="77777777" w:rsidR="000A4624" w:rsidRDefault="00752218">
      <w:pPr>
        <w:pStyle w:val="BodyText"/>
        <w:spacing w:before="46" w:line="254" w:lineRule="auto"/>
        <w:ind w:right="150"/>
      </w:pPr>
      <w:r>
        <w:t>Children recall and using equivalences between simple fractions, decimals and percentages.</w:t>
      </w:r>
      <w:r>
        <w:rPr>
          <w:spacing w:val="-2"/>
        </w:rPr>
        <w:t xml:space="preserve"> </w:t>
      </w:r>
      <w:r>
        <w:t>Additionally,</w:t>
      </w:r>
      <w:r>
        <w:rPr>
          <w:spacing w:val="-2"/>
        </w:rPr>
        <w:t xml:space="preserve"> </w:t>
      </w:r>
      <w:r>
        <w:t>they</w:t>
      </w:r>
      <w:r>
        <w:rPr>
          <w:spacing w:val="-5"/>
        </w:rPr>
        <w:t xml:space="preserve"> </w:t>
      </w:r>
      <w:proofErr w:type="gramStart"/>
      <w:r>
        <w:t>are</w:t>
      </w:r>
      <w:r>
        <w:rPr>
          <w:spacing w:val="-2"/>
        </w:rPr>
        <w:t xml:space="preserve"> </w:t>
      </w:r>
      <w:r>
        <w:t>able</w:t>
      </w:r>
      <w:r>
        <w:rPr>
          <w:spacing w:val="-2"/>
        </w:rPr>
        <w:t xml:space="preserve"> </w:t>
      </w:r>
      <w:r>
        <w:t>to</w:t>
      </w:r>
      <w:proofErr w:type="gramEnd"/>
      <w:r>
        <w:t xml:space="preserve"> express</w:t>
      </w:r>
      <w:r>
        <w:rPr>
          <w:spacing w:val="-4"/>
        </w:rPr>
        <w:t xml:space="preserve"> </w:t>
      </w:r>
      <w:r>
        <w:t>fractions</w:t>
      </w:r>
      <w:r>
        <w:rPr>
          <w:spacing w:val="-2"/>
        </w:rPr>
        <w:t xml:space="preserve"> </w:t>
      </w:r>
      <w:r>
        <w:t>in</w:t>
      </w:r>
      <w:r>
        <w:rPr>
          <w:spacing w:val="-4"/>
        </w:rPr>
        <w:t xml:space="preserve"> </w:t>
      </w:r>
      <w:r>
        <w:t>their</w:t>
      </w:r>
      <w:r>
        <w:rPr>
          <w:spacing w:val="-6"/>
        </w:rPr>
        <w:t xml:space="preserve"> </w:t>
      </w:r>
      <w:r>
        <w:t>simplest</w:t>
      </w:r>
      <w:r>
        <w:rPr>
          <w:spacing w:val="-4"/>
        </w:rPr>
        <w:t xml:space="preserve"> </w:t>
      </w:r>
      <w:r>
        <w:t xml:space="preserve">form and calculate the decimal equivalent, for example </w:t>
      </w:r>
      <w:r>
        <w:rPr>
          <w:noProof/>
          <w:position w:val="-11"/>
        </w:rPr>
        <w:drawing>
          <wp:inline distT="0" distB="0" distL="0" distR="0" wp14:anchorId="11D19107" wp14:editId="11D19108">
            <wp:extent cx="67310" cy="228600"/>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7" cstate="print"/>
                    <a:stretch>
                      <a:fillRect/>
                    </a:stretch>
                  </pic:blipFill>
                  <pic:spPr>
                    <a:xfrm>
                      <a:off x="0" y="0"/>
                      <a:ext cx="67310" cy="228600"/>
                    </a:xfrm>
                    <a:prstGeom prst="rect">
                      <a:avLst/>
                    </a:prstGeom>
                  </pic:spPr>
                </pic:pic>
              </a:graphicData>
            </a:graphic>
          </wp:inline>
        </w:drawing>
      </w:r>
      <w:r>
        <w:rPr>
          <w:rFonts w:ascii="Times New Roman" w:hAnsi="Times New Roman"/>
        </w:rPr>
        <w:t xml:space="preserve"> </w:t>
      </w:r>
      <w:r>
        <w:t>= 3 ÷</w:t>
      </w:r>
      <w:r>
        <w:rPr>
          <w:spacing w:val="-1"/>
        </w:rPr>
        <w:t xml:space="preserve"> </w:t>
      </w:r>
      <w:r>
        <w:t>8 = 0.375.</w:t>
      </w:r>
    </w:p>
    <w:p w14:paraId="11D190F1" w14:textId="77777777" w:rsidR="000A4624" w:rsidRDefault="00752218">
      <w:pPr>
        <w:pStyle w:val="BodyText"/>
        <w:spacing w:line="252" w:lineRule="auto"/>
        <w:ind w:right="150"/>
      </w:pPr>
      <w:r>
        <w:t>Applying this understanding of equivalent fractions, children will order, add and subtract</w:t>
      </w:r>
      <w:r>
        <w:rPr>
          <w:spacing w:val="-1"/>
        </w:rPr>
        <w:t xml:space="preserve"> </w:t>
      </w:r>
      <w:r>
        <w:t>fractions (including</w:t>
      </w:r>
      <w:r>
        <w:rPr>
          <w:spacing w:val="-1"/>
        </w:rPr>
        <w:t xml:space="preserve"> </w:t>
      </w:r>
      <w:r>
        <w:t>mixed numbers</w:t>
      </w:r>
      <w:r>
        <w:rPr>
          <w:spacing w:val="-3"/>
        </w:rPr>
        <w:t xml:space="preserve"> </w:t>
      </w:r>
      <w:r>
        <w:t xml:space="preserve">and those with different denominators) by the end of the year </w:t>
      </w:r>
      <w:proofErr w:type="gramStart"/>
      <w:r>
        <w:t>e.g.</w:t>
      </w:r>
      <w:proofErr w:type="gramEnd"/>
      <w:r>
        <w:t xml:space="preserve"> </w:t>
      </w:r>
      <w:r>
        <w:rPr>
          <w:noProof/>
          <w:position w:val="-10"/>
        </w:rPr>
        <w:drawing>
          <wp:inline distT="0" distB="0" distL="0" distR="0" wp14:anchorId="11D19109" wp14:editId="11D1910A">
            <wp:extent cx="67310" cy="229164"/>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8" cstate="print"/>
                    <a:stretch>
                      <a:fillRect/>
                    </a:stretch>
                  </pic:blipFill>
                  <pic:spPr>
                    <a:xfrm>
                      <a:off x="0" y="0"/>
                      <a:ext cx="67310" cy="229164"/>
                    </a:xfrm>
                    <a:prstGeom prst="rect">
                      <a:avLst/>
                    </a:prstGeom>
                  </pic:spPr>
                </pic:pic>
              </a:graphicData>
            </a:graphic>
          </wp:inline>
        </w:drawing>
      </w:r>
      <w:r>
        <w:rPr>
          <w:rFonts w:ascii="Times New Roman" w:hAnsi="Times New Roman"/>
        </w:rPr>
        <w:t xml:space="preserve"> </w:t>
      </w:r>
      <w:r>
        <w:t xml:space="preserve">+ </w:t>
      </w:r>
      <w:r>
        <w:rPr>
          <w:noProof/>
          <w:position w:val="-10"/>
        </w:rPr>
        <w:drawing>
          <wp:inline distT="0" distB="0" distL="0" distR="0" wp14:anchorId="11D1910B" wp14:editId="11D1910C">
            <wp:extent cx="67310" cy="229164"/>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9" cstate="print"/>
                    <a:stretch>
                      <a:fillRect/>
                    </a:stretch>
                  </pic:blipFill>
                  <pic:spPr>
                    <a:xfrm>
                      <a:off x="0" y="0"/>
                      <a:ext cx="67310" cy="229164"/>
                    </a:xfrm>
                    <a:prstGeom prst="rect">
                      <a:avLst/>
                    </a:prstGeom>
                  </pic:spPr>
                </pic:pic>
              </a:graphicData>
            </a:graphic>
          </wp:inline>
        </w:drawing>
      </w:r>
      <w:r>
        <w:rPr>
          <w:rFonts w:ascii="Times New Roman" w:hAnsi="Times New Roman"/>
        </w:rPr>
        <w:t xml:space="preserve"> </w:t>
      </w:r>
      <w:r>
        <w:t xml:space="preserve">+ </w:t>
      </w:r>
      <w:r>
        <w:rPr>
          <w:rFonts w:ascii="Webdings" w:hAnsi="Webdings"/>
        </w:rPr>
        <w:t></w:t>
      </w:r>
      <w:r>
        <w:rPr>
          <w:rFonts w:ascii="Times New Roman" w:hAnsi="Times New Roman"/>
        </w:rPr>
        <w:t xml:space="preserve"> </w:t>
      </w:r>
      <w:r>
        <w:t>= 1. Using hands-on resources and images, they</w:t>
      </w:r>
      <w:r>
        <w:rPr>
          <w:spacing w:val="-5"/>
        </w:rPr>
        <w:t xml:space="preserve"> </w:t>
      </w:r>
      <w:r>
        <w:t>will</w:t>
      </w:r>
      <w:r>
        <w:rPr>
          <w:spacing w:val="-3"/>
        </w:rPr>
        <w:t xml:space="preserve"> </w:t>
      </w:r>
      <w:r>
        <w:t>multiply</w:t>
      </w:r>
      <w:r>
        <w:rPr>
          <w:spacing w:val="-5"/>
        </w:rPr>
        <w:t xml:space="preserve"> </w:t>
      </w:r>
      <w:r>
        <w:t>and</w:t>
      </w:r>
      <w:r>
        <w:rPr>
          <w:spacing w:val="-2"/>
        </w:rPr>
        <w:t xml:space="preserve"> </w:t>
      </w:r>
      <w:r>
        <w:t>divide proper</w:t>
      </w:r>
      <w:r>
        <w:rPr>
          <w:spacing w:val="-5"/>
        </w:rPr>
        <w:t xml:space="preserve"> </w:t>
      </w:r>
      <w:r>
        <w:t>fractions</w:t>
      </w:r>
      <w:r>
        <w:rPr>
          <w:spacing w:val="-4"/>
        </w:rPr>
        <w:t xml:space="preserve"> </w:t>
      </w:r>
      <w:r>
        <w:t>and</w:t>
      </w:r>
      <w:r>
        <w:rPr>
          <w:spacing w:val="-4"/>
        </w:rPr>
        <w:t xml:space="preserve"> </w:t>
      </w:r>
      <w:r>
        <w:t>mixed</w:t>
      </w:r>
      <w:r>
        <w:rPr>
          <w:spacing w:val="-2"/>
        </w:rPr>
        <w:t xml:space="preserve"> </w:t>
      </w:r>
      <w:r>
        <w:t>numbers</w:t>
      </w:r>
      <w:r>
        <w:rPr>
          <w:spacing w:val="-2"/>
        </w:rPr>
        <w:t xml:space="preserve"> </w:t>
      </w:r>
      <w:r>
        <w:t>by</w:t>
      </w:r>
      <w:r>
        <w:rPr>
          <w:spacing w:val="-4"/>
        </w:rPr>
        <w:t xml:space="preserve"> </w:t>
      </w:r>
      <w:r>
        <w:t>whole</w:t>
      </w:r>
      <w:r>
        <w:rPr>
          <w:spacing w:val="-2"/>
        </w:rPr>
        <w:t xml:space="preserve"> </w:t>
      </w:r>
      <w:r>
        <w:t>numbers</w:t>
      </w:r>
    </w:p>
    <w:p w14:paraId="11D190F2" w14:textId="77777777" w:rsidR="000A4624" w:rsidRDefault="00752218">
      <w:pPr>
        <w:pStyle w:val="BodyText"/>
        <w:spacing w:line="247" w:lineRule="auto"/>
      </w:pPr>
      <w:proofErr w:type="gramStart"/>
      <w:r>
        <w:t>e.g.</w:t>
      </w:r>
      <w:proofErr w:type="gramEnd"/>
      <w:r>
        <w:rPr>
          <w:spacing w:val="-2"/>
        </w:rPr>
        <w:t xml:space="preserve"> </w:t>
      </w:r>
      <w:r>
        <w:rPr>
          <w:noProof/>
          <w:position w:val="-10"/>
        </w:rPr>
        <w:drawing>
          <wp:inline distT="0" distB="0" distL="0" distR="0" wp14:anchorId="11D1910D" wp14:editId="11D1910E">
            <wp:extent cx="67309" cy="229164"/>
            <wp:effectExtent l="0" t="0" r="0" b="0"/>
            <wp:docPr id="1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png"/>
                    <pic:cNvPicPr/>
                  </pic:nvPicPr>
                  <pic:blipFill>
                    <a:blip r:embed="rId9" cstate="print"/>
                    <a:stretch>
                      <a:fillRect/>
                    </a:stretch>
                  </pic:blipFill>
                  <pic:spPr>
                    <a:xfrm>
                      <a:off x="0" y="0"/>
                      <a:ext cx="67309" cy="229164"/>
                    </a:xfrm>
                    <a:prstGeom prst="rect">
                      <a:avLst/>
                    </a:prstGeom>
                  </pic:spPr>
                </pic:pic>
              </a:graphicData>
            </a:graphic>
          </wp:inline>
        </w:drawing>
      </w:r>
      <w:r>
        <w:rPr>
          <w:rFonts w:ascii="Times New Roman" w:hAnsi="Times New Roman"/>
        </w:rPr>
        <w:t xml:space="preserve"> </w:t>
      </w:r>
      <w:r>
        <w:t>x</w:t>
      </w:r>
      <w:r>
        <w:rPr>
          <w:spacing w:val="-4"/>
        </w:rPr>
        <w:t xml:space="preserve"> </w:t>
      </w:r>
      <w:r>
        <w:rPr>
          <w:noProof/>
          <w:position w:val="-10"/>
        </w:rPr>
        <w:drawing>
          <wp:inline distT="0" distB="0" distL="0" distR="0" wp14:anchorId="11D1910F" wp14:editId="11D19110">
            <wp:extent cx="66675" cy="229164"/>
            <wp:effectExtent l="0" t="0" r="0" b="0"/>
            <wp:docPr id="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png"/>
                    <pic:cNvPicPr/>
                  </pic:nvPicPr>
                  <pic:blipFill>
                    <a:blip r:embed="rId10" cstate="print"/>
                    <a:stretch>
                      <a:fillRect/>
                    </a:stretch>
                  </pic:blipFill>
                  <pic:spPr>
                    <a:xfrm>
                      <a:off x="0" y="0"/>
                      <a:ext cx="66675" cy="229164"/>
                    </a:xfrm>
                    <a:prstGeom prst="rect">
                      <a:avLst/>
                    </a:prstGeom>
                  </pic:spPr>
                </pic:pic>
              </a:graphicData>
            </a:graphic>
          </wp:inline>
        </w:drawing>
      </w:r>
      <w:r>
        <w:rPr>
          <w:rFonts w:ascii="Times New Roman" w:hAnsi="Times New Roman"/>
          <w:spacing w:val="-9"/>
        </w:rPr>
        <w:t xml:space="preserve"> </w:t>
      </w:r>
      <w:r>
        <w:rPr>
          <w:sz w:val="18"/>
        </w:rPr>
        <w:t>=</w:t>
      </w:r>
      <w:r>
        <w:rPr>
          <w:spacing w:val="-2"/>
          <w:sz w:val="18"/>
        </w:rPr>
        <w:t xml:space="preserve"> </w:t>
      </w:r>
      <w:r>
        <w:rPr>
          <w:noProof/>
          <w:position w:val="-11"/>
          <w:sz w:val="18"/>
        </w:rPr>
        <w:drawing>
          <wp:inline distT="0" distB="0" distL="0" distR="0" wp14:anchorId="11D19111" wp14:editId="11D19112">
            <wp:extent cx="66675" cy="229164"/>
            <wp:effectExtent l="0" t="0" r="0" b="0"/>
            <wp:docPr id="1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11" cstate="print"/>
                    <a:stretch>
                      <a:fillRect/>
                    </a:stretch>
                  </pic:blipFill>
                  <pic:spPr>
                    <a:xfrm>
                      <a:off x="0" y="0"/>
                      <a:ext cx="66675" cy="229164"/>
                    </a:xfrm>
                    <a:prstGeom prst="rect">
                      <a:avLst/>
                    </a:prstGeom>
                  </pic:spPr>
                </pic:pic>
              </a:graphicData>
            </a:graphic>
          </wp:inline>
        </w:drawing>
      </w:r>
      <w:r>
        <w:rPr>
          <w:rFonts w:ascii="Times New Roman" w:hAnsi="Times New Roman"/>
          <w:spacing w:val="20"/>
          <w:sz w:val="18"/>
        </w:rPr>
        <w:t xml:space="preserve"> </w:t>
      </w:r>
      <w:r>
        <w:t>and</w:t>
      </w:r>
      <w:r>
        <w:rPr>
          <w:spacing w:val="-4"/>
        </w:rPr>
        <w:t xml:space="preserve"> </w:t>
      </w:r>
      <w:r>
        <w:rPr>
          <w:noProof/>
          <w:position w:val="-10"/>
        </w:rPr>
        <w:drawing>
          <wp:inline distT="0" distB="0" distL="0" distR="0" wp14:anchorId="11D19113" wp14:editId="11D19114">
            <wp:extent cx="67119" cy="229164"/>
            <wp:effectExtent l="0" t="0" r="0" b="0"/>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png"/>
                    <pic:cNvPicPr/>
                  </pic:nvPicPr>
                  <pic:blipFill>
                    <a:blip r:embed="rId8" cstate="print"/>
                    <a:stretch>
                      <a:fillRect/>
                    </a:stretch>
                  </pic:blipFill>
                  <pic:spPr>
                    <a:xfrm>
                      <a:off x="0" y="0"/>
                      <a:ext cx="67119" cy="229164"/>
                    </a:xfrm>
                    <a:prstGeom prst="rect">
                      <a:avLst/>
                    </a:prstGeom>
                  </pic:spPr>
                </pic:pic>
              </a:graphicData>
            </a:graphic>
          </wp:inline>
        </w:drawing>
      </w:r>
      <w:r>
        <w:rPr>
          <w:rFonts w:ascii="Times New Roman" w:hAnsi="Times New Roman"/>
          <w:spacing w:val="-15"/>
        </w:rPr>
        <w:t xml:space="preserve"> </w:t>
      </w:r>
      <w:r>
        <w:t>÷</w:t>
      </w:r>
      <w:r>
        <w:rPr>
          <w:spacing w:val="-11"/>
        </w:rPr>
        <w:t xml:space="preserve"> </w:t>
      </w:r>
      <w:r>
        <w:t>2</w:t>
      </w:r>
      <w:r>
        <w:rPr>
          <w:spacing w:val="-1"/>
        </w:rPr>
        <w:t xml:space="preserve"> </w:t>
      </w:r>
      <w:r>
        <w:t>=</w:t>
      </w:r>
      <w:r>
        <w:rPr>
          <w:spacing w:val="-5"/>
        </w:rPr>
        <w:t xml:space="preserve"> </w:t>
      </w:r>
      <w:r>
        <w:rPr>
          <w:noProof/>
          <w:position w:val="-11"/>
        </w:rPr>
        <w:drawing>
          <wp:inline distT="0" distB="0" distL="0" distR="0" wp14:anchorId="11D19115" wp14:editId="11D19116">
            <wp:extent cx="67310" cy="229164"/>
            <wp:effectExtent l="0" t="0" r="0" b="0"/>
            <wp:docPr id="1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png"/>
                    <pic:cNvPicPr/>
                  </pic:nvPicPr>
                  <pic:blipFill>
                    <a:blip r:embed="rId12" cstate="print"/>
                    <a:stretch>
                      <a:fillRect/>
                    </a:stretch>
                  </pic:blipFill>
                  <pic:spPr>
                    <a:xfrm>
                      <a:off x="0" y="0"/>
                      <a:ext cx="67310" cy="229164"/>
                    </a:xfrm>
                    <a:prstGeom prst="rect">
                      <a:avLst/>
                    </a:prstGeom>
                  </pic:spPr>
                </pic:pic>
              </a:graphicData>
            </a:graphic>
          </wp:inline>
        </w:drawing>
      </w:r>
      <w:r>
        <w:rPr>
          <w:rFonts w:ascii="Times New Roman" w:hAnsi="Times New Roman"/>
        </w:rPr>
        <w:t xml:space="preserve"> </w:t>
      </w:r>
      <w:r>
        <w:t>.</w:t>
      </w:r>
      <w:r>
        <w:rPr>
          <w:spacing w:val="-1"/>
        </w:rPr>
        <w:t xml:space="preserve"> </w:t>
      </w:r>
      <w:r>
        <w:t>Children</w:t>
      </w:r>
      <w:r>
        <w:rPr>
          <w:spacing w:val="-2"/>
        </w:rPr>
        <w:t xml:space="preserve"> </w:t>
      </w:r>
      <w:r>
        <w:t>will</w:t>
      </w:r>
      <w:r>
        <w:rPr>
          <w:spacing w:val="-3"/>
        </w:rPr>
        <w:t xml:space="preserve"> </w:t>
      </w:r>
      <w:r>
        <w:t>solve</w:t>
      </w:r>
      <w:r>
        <w:rPr>
          <w:spacing w:val="-2"/>
        </w:rPr>
        <w:t xml:space="preserve"> </w:t>
      </w:r>
      <w:r>
        <w:t>problems</w:t>
      </w:r>
      <w:r>
        <w:rPr>
          <w:spacing w:val="-2"/>
        </w:rPr>
        <w:t xml:space="preserve"> </w:t>
      </w:r>
      <w:r>
        <w:t>involving</w:t>
      </w:r>
      <w:r>
        <w:rPr>
          <w:spacing w:val="-3"/>
        </w:rPr>
        <w:t xml:space="preserve"> </w:t>
      </w:r>
      <w:r>
        <w:t>the</w:t>
      </w:r>
      <w:r>
        <w:rPr>
          <w:spacing w:val="-2"/>
        </w:rPr>
        <w:t xml:space="preserve"> </w:t>
      </w:r>
      <w:r>
        <w:t>calculation</w:t>
      </w:r>
      <w:r>
        <w:rPr>
          <w:spacing w:val="-3"/>
        </w:rPr>
        <w:t xml:space="preserve"> </w:t>
      </w:r>
      <w:r>
        <w:t>of percentages linked to real life situations.</w:t>
      </w:r>
    </w:p>
    <w:p w14:paraId="11D190F3" w14:textId="77777777" w:rsidR="000A4624" w:rsidRDefault="000A4624">
      <w:pPr>
        <w:pStyle w:val="BodyText"/>
        <w:spacing w:before="8"/>
        <w:ind w:left="0"/>
        <w:rPr>
          <w:sz w:val="22"/>
        </w:rPr>
      </w:pPr>
    </w:p>
    <w:p w14:paraId="11D190F4" w14:textId="77777777" w:rsidR="000A4624" w:rsidRDefault="00752218">
      <w:pPr>
        <w:pStyle w:val="Heading1"/>
      </w:pPr>
      <w:r>
        <w:t>Ratio</w:t>
      </w:r>
      <w:r>
        <w:rPr>
          <w:spacing w:val="-4"/>
        </w:rPr>
        <w:t xml:space="preserve"> </w:t>
      </w:r>
      <w:r>
        <w:t>and</w:t>
      </w:r>
      <w:r>
        <w:rPr>
          <w:spacing w:val="-3"/>
        </w:rPr>
        <w:t xml:space="preserve"> </w:t>
      </w:r>
      <w:r>
        <w:rPr>
          <w:spacing w:val="-2"/>
        </w:rPr>
        <w:t>proportion</w:t>
      </w:r>
    </w:p>
    <w:p w14:paraId="11D190F5" w14:textId="77777777" w:rsidR="000A4624" w:rsidRDefault="00752218">
      <w:pPr>
        <w:pStyle w:val="BodyText"/>
        <w:spacing w:before="48"/>
        <w:ind w:right="150"/>
      </w:pPr>
      <w:r>
        <w:t>Pupils</w:t>
      </w:r>
      <w:r>
        <w:rPr>
          <w:spacing w:val="-3"/>
        </w:rPr>
        <w:t xml:space="preserve"> </w:t>
      </w:r>
      <w:r>
        <w:t>explore</w:t>
      </w:r>
      <w:r>
        <w:rPr>
          <w:spacing w:val="-4"/>
        </w:rPr>
        <w:t xml:space="preserve"> </w:t>
      </w:r>
      <w:r>
        <w:t>ratio</w:t>
      </w:r>
      <w:r>
        <w:rPr>
          <w:spacing w:val="-6"/>
        </w:rPr>
        <w:t xml:space="preserve"> </w:t>
      </w:r>
      <w:r>
        <w:t>and</w:t>
      </w:r>
      <w:r>
        <w:rPr>
          <w:spacing w:val="-4"/>
        </w:rPr>
        <w:t xml:space="preserve"> </w:t>
      </w:r>
      <w:r>
        <w:t>proportion</w:t>
      </w:r>
      <w:r>
        <w:rPr>
          <w:spacing w:val="-5"/>
        </w:rPr>
        <w:t xml:space="preserve"> </w:t>
      </w:r>
      <w:r>
        <w:t>through</w:t>
      </w:r>
      <w:r>
        <w:rPr>
          <w:spacing w:val="-4"/>
        </w:rPr>
        <w:t xml:space="preserve"> </w:t>
      </w:r>
      <w:r>
        <w:t>real</w:t>
      </w:r>
      <w:r>
        <w:rPr>
          <w:spacing w:val="-5"/>
        </w:rPr>
        <w:t xml:space="preserve"> </w:t>
      </w:r>
      <w:r>
        <w:t>life</w:t>
      </w:r>
      <w:r>
        <w:rPr>
          <w:spacing w:val="-3"/>
        </w:rPr>
        <w:t xml:space="preserve"> </w:t>
      </w:r>
      <w:r>
        <w:t>experiences</w:t>
      </w:r>
      <w:r>
        <w:rPr>
          <w:spacing w:val="-4"/>
        </w:rPr>
        <w:t xml:space="preserve"> </w:t>
      </w:r>
      <w:r>
        <w:t>such</w:t>
      </w:r>
      <w:r>
        <w:rPr>
          <w:spacing w:val="-4"/>
        </w:rPr>
        <w:t xml:space="preserve"> </w:t>
      </w:r>
      <w:r>
        <w:t>as</w:t>
      </w:r>
      <w:r>
        <w:rPr>
          <w:spacing w:val="-4"/>
        </w:rPr>
        <w:t xml:space="preserve"> </w:t>
      </w:r>
      <w:r>
        <w:t>changing the quantities in recipes (scaling), scale drawings and maps.</w:t>
      </w:r>
    </w:p>
    <w:p w14:paraId="11D190F6" w14:textId="77777777" w:rsidR="000A4624" w:rsidRDefault="000A4624">
      <w:pPr>
        <w:pStyle w:val="BodyText"/>
        <w:ind w:left="0"/>
      </w:pPr>
    </w:p>
    <w:p w14:paraId="11D190F7" w14:textId="77777777" w:rsidR="000A4624" w:rsidRDefault="00752218">
      <w:pPr>
        <w:pStyle w:val="Heading1"/>
      </w:pPr>
      <w:r>
        <w:rPr>
          <w:spacing w:val="-2"/>
        </w:rPr>
        <w:t>Algebra</w:t>
      </w:r>
    </w:p>
    <w:p w14:paraId="11D190F8" w14:textId="77777777" w:rsidR="000A4624" w:rsidRDefault="00752218">
      <w:pPr>
        <w:pStyle w:val="BodyText"/>
        <w:spacing w:before="46"/>
        <w:ind w:right="150"/>
      </w:pPr>
      <w:r>
        <w:t xml:space="preserve">Throughout their primary experience children will have encountered algebra in </w:t>
      </w:r>
      <w:proofErr w:type="gramStart"/>
      <w:r>
        <w:t>a number of</w:t>
      </w:r>
      <w:proofErr w:type="gramEnd"/>
      <w:r>
        <w:t xml:space="preserve"> different situations which is drawn together and </w:t>
      </w:r>
      <w:proofErr w:type="spellStart"/>
      <w:r>
        <w:t>formalised</w:t>
      </w:r>
      <w:proofErr w:type="spellEnd"/>
      <w:r>
        <w:t xml:space="preserve"> in year 6. By the end of the year, they will confidently use symbols and letters to represent variables</w:t>
      </w:r>
      <w:r>
        <w:rPr>
          <w:spacing w:val="-2"/>
        </w:rPr>
        <w:t xml:space="preserve"> </w:t>
      </w:r>
      <w:r>
        <w:t>and</w:t>
      </w:r>
      <w:r>
        <w:rPr>
          <w:spacing w:val="-4"/>
        </w:rPr>
        <w:t xml:space="preserve"> </w:t>
      </w:r>
      <w:r>
        <w:t>unknowns</w:t>
      </w:r>
      <w:r>
        <w:rPr>
          <w:spacing w:val="-2"/>
        </w:rPr>
        <w:t xml:space="preserve"> </w:t>
      </w:r>
      <w:r>
        <w:t>in</w:t>
      </w:r>
      <w:r>
        <w:rPr>
          <w:spacing w:val="-2"/>
        </w:rPr>
        <w:t xml:space="preserve"> </w:t>
      </w:r>
      <w:r>
        <w:t>mathematical</w:t>
      </w:r>
      <w:r>
        <w:rPr>
          <w:spacing w:val="-3"/>
        </w:rPr>
        <w:t xml:space="preserve"> </w:t>
      </w:r>
      <w:r>
        <w:t>situations</w:t>
      </w:r>
      <w:r>
        <w:rPr>
          <w:spacing w:val="-2"/>
        </w:rPr>
        <w:t xml:space="preserve"> </w:t>
      </w:r>
      <w:r>
        <w:t>that</w:t>
      </w:r>
      <w:r>
        <w:rPr>
          <w:spacing w:val="-4"/>
        </w:rPr>
        <w:t xml:space="preserve"> </w:t>
      </w:r>
      <w:r>
        <w:t>they</w:t>
      </w:r>
      <w:r>
        <w:rPr>
          <w:spacing w:val="-5"/>
        </w:rPr>
        <w:t xml:space="preserve"> </w:t>
      </w:r>
      <w:r>
        <w:t>already</w:t>
      </w:r>
      <w:r>
        <w:rPr>
          <w:spacing w:val="-5"/>
        </w:rPr>
        <w:t xml:space="preserve"> </w:t>
      </w:r>
      <w:r>
        <w:t>understand,</w:t>
      </w:r>
      <w:r>
        <w:rPr>
          <w:spacing w:val="-4"/>
        </w:rPr>
        <w:t xml:space="preserve"> </w:t>
      </w:r>
      <w:r>
        <w:t>for</w:t>
      </w:r>
    </w:p>
    <w:p w14:paraId="11D190F9" w14:textId="77777777" w:rsidR="000A4624" w:rsidRDefault="000A4624">
      <w:pPr>
        <w:sectPr w:rsidR="000A4624">
          <w:type w:val="continuous"/>
          <w:pgSz w:w="11910" w:h="16840"/>
          <w:pgMar w:top="960" w:right="1380" w:bottom="280" w:left="1340" w:header="720" w:footer="720" w:gutter="0"/>
          <w:cols w:space="720"/>
        </w:sectPr>
      </w:pPr>
    </w:p>
    <w:p w14:paraId="11D190FA" w14:textId="77777777" w:rsidR="000A4624" w:rsidRDefault="00752218">
      <w:pPr>
        <w:pStyle w:val="BodyText"/>
        <w:spacing w:before="77"/>
        <w:ind w:right="150"/>
      </w:pPr>
      <w:r>
        <w:lastRenderedPageBreak/>
        <w:t>example,</w:t>
      </w:r>
      <w:r>
        <w:rPr>
          <w:spacing w:val="-2"/>
        </w:rPr>
        <w:t xml:space="preserve"> </w:t>
      </w:r>
      <w:r>
        <w:t>simple</w:t>
      </w:r>
      <w:r>
        <w:rPr>
          <w:spacing w:val="-8"/>
        </w:rPr>
        <w:t xml:space="preserve"> </w:t>
      </w:r>
      <w:r>
        <w:t>formula</w:t>
      </w:r>
      <w:r>
        <w:rPr>
          <w:spacing w:val="-2"/>
        </w:rPr>
        <w:t xml:space="preserve"> </w:t>
      </w:r>
      <w:r>
        <w:t>and</w:t>
      </w:r>
      <w:r>
        <w:rPr>
          <w:spacing w:val="-3"/>
        </w:rPr>
        <w:t xml:space="preserve"> </w:t>
      </w:r>
      <w:r>
        <w:t>equivalent</w:t>
      </w:r>
      <w:r>
        <w:rPr>
          <w:spacing w:val="-4"/>
        </w:rPr>
        <w:t xml:space="preserve"> </w:t>
      </w:r>
      <w:r>
        <w:t>expressions</w:t>
      </w:r>
      <w:r>
        <w:rPr>
          <w:spacing w:val="-6"/>
        </w:rPr>
        <w:t xml:space="preserve"> </w:t>
      </w:r>
      <w:proofErr w:type="spellStart"/>
      <w:r>
        <w:t>a+b</w:t>
      </w:r>
      <w:proofErr w:type="spellEnd"/>
      <w:r>
        <w:rPr>
          <w:spacing w:val="-4"/>
        </w:rPr>
        <w:t xml:space="preserve"> </w:t>
      </w:r>
      <w:r>
        <w:t>=</w:t>
      </w:r>
      <w:r>
        <w:rPr>
          <w:spacing w:val="-4"/>
        </w:rPr>
        <w:t xml:space="preserve"> </w:t>
      </w:r>
      <w:proofErr w:type="spellStart"/>
      <w:r>
        <w:t>b+a</w:t>
      </w:r>
      <w:proofErr w:type="spellEnd"/>
      <w:r>
        <w:t>.</w:t>
      </w:r>
      <w:r>
        <w:rPr>
          <w:spacing w:val="-4"/>
        </w:rPr>
        <w:t xml:space="preserve"> </w:t>
      </w:r>
      <w:r>
        <w:t>Children</w:t>
      </w:r>
      <w:r>
        <w:rPr>
          <w:spacing w:val="-3"/>
        </w:rPr>
        <w:t xml:space="preserve"> </w:t>
      </w:r>
      <w:r>
        <w:t>will describe number sequences and missing number calculations.</w:t>
      </w:r>
    </w:p>
    <w:p w14:paraId="11D190FB" w14:textId="77777777" w:rsidR="000A4624" w:rsidRDefault="00752218">
      <w:pPr>
        <w:pStyle w:val="Heading1"/>
      </w:pPr>
      <w:r>
        <w:rPr>
          <w:spacing w:val="-2"/>
        </w:rPr>
        <w:t>Measurement</w:t>
      </w:r>
    </w:p>
    <w:p w14:paraId="11D190FC" w14:textId="77777777" w:rsidR="000A4624" w:rsidRDefault="00752218">
      <w:pPr>
        <w:pStyle w:val="BodyText"/>
        <w:spacing w:before="46"/>
        <w:ind w:right="78"/>
      </w:pPr>
      <w:r>
        <w:t>Through investigation and problem solving, children convert between a range of measurement</w:t>
      </w:r>
      <w:r>
        <w:rPr>
          <w:spacing w:val="-4"/>
        </w:rPr>
        <w:t xml:space="preserve"> </w:t>
      </w:r>
      <w:r>
        <w:t>units</w:t>
      </w:r>
      <w:r>
        <w:rPr>
          <w:spacing w:val="-1"/>
        </w:rPr>
        <w:t xml:space="preserve"> </w:t>
      </w:r>
      <w:r>
        <w:t>(including</w:t>
      </w:r>
      <w:r>
        <w:rPr>
          <w:spacing w:val="-5"/>
        </w:rPr>
        <w:t xml:space="preserve"> </w:t>
      </w:r>
      <w:r>
        <w:t>both</w:t>
      </w:r>
      <w:r>
        <w:rPr>
          <w:spacing w:val="-4"/>
        </w:rPr>
        <w:t xml:space="preserve"> </w:t>
      </w:r>
      <w:r>
        <w:t>imperial</w:t>
      </w:r>
      <w:r>
        <w:rPr>
          <w:spacing w:val="-5"/>
        </w:rPr>
        <w:t xml:space="preserve"> </w:t>
      </w:r>
      <w:r>
        <w:t>and</w:t>
      </w:r>
      <w:r>
        <w:rPr>
          <w:spacing w:val="-6"/>
        </w:rPr>
        <w:t xml:space="preserve"> </w:t>
      </w:r>
      <w:r>
        <w:t>metric).</w:t>
      </w:r>
      <w:r>
        <w:rPr>
          <w:spacing w:val="-1"/>
        </w:rPr>
        <w:t xml:space="preserve"> </w:t>
      </w:r>
      <w:r>
        <w:t>Calculation</w:t>
      </w:r>
      <w:r>
        <w:rPr>
          <w:spacing w:val="-6"/>
        </w:rPr>
        <w:t xml:space="preserve"> </w:t>
      </w:r>
      <w:r>
        <w:t>of</w:t>
      </w:r>
      <w:r>
        <w:rPr>
          <w:spacing w:val="-2"/>
        </w:rPr>
        <w:t xml:space="preserve"> </w:t>
      </w:r>
      <w:r>
        <w:t>perimeter</w:t>
      </w:r>
      <w:r>
        <w:rPr>
          <w:spacing w:val="-4"/>
        </w:rPr>
        <w:t xml:space="preserve"> </w:t>
      </w:r>
      <w:r>
        <w:t>and area is extended to include parallelograms and triangles. Additionally, they will explore the relationship between area and perimeter. They will know how to calculate, estimate and compare volume of cubes and cuboids identifying when it is appropriate to use formula.</w:t>
      </w:r>
    </w:p>
    <w:p w14:paraId="11D190FD" w14:textId="77777777" w:rsidR="000A4624" w:rsidRDefault="000A4624">
      <w:pPr>
        <w:pStyle w:val="BodyText"/>
        <w:ind w:left="0"/>
      </w:pPr>
    </w:p>
    <w:p w14:paraId="11D190FE" w14:textId="77777777" w:rsidR="000A4624" w:rsidRDefault="00752218">
      <w:pPr>
        <w:pStyle w:val="Heading1"/>
      </w:pPr>
      <w:r>
        <w:rPr>
          <w:spacing w:val="-2"/>
        </w:rPr>
        <w:t>Geometry</w:t>
      </w:r>
    </w:p>
    <w:p w14:paraId="11D190FF" w14:textId="77777777" w:rsidR="000A4624" w:rsidRDefault="00752218">
      <w:pPr>
        <w:pStyle w:val="BodyText"/>
        <w:spacing w:before="92"/>
        <w:ind w:right="150"/>
      </w:pPr>
      <w:r>
        <w:t>Children will draw 2-D and build 3-D shapes with accuracy using given dimensions and</w:t>
      </w:r>
      <w:r>
        <w:rPr>
          <w:spacing w:val="-4"/>
        </w:rPr>
        <w:t xml:space="preserve"> </w:t>
      </w:r>
      <w:r>
        <w:t>angles.</w:t>
      </w:r>
      <w:r>
        <w:rPr>
          <w:spacing w:val="-4"/>
        </w:rPr>
        <w:t xml:space="preserve"> </w:t>
      </w:r>
      <w:r>
        <w:t>They</w:t>
      </w:r>
      <w:r>
        <w:rPr>
          <w:spacing w:val="-5"/>
        </w:rPr>
        <w:t xml:space="preserve"> </w:t>
      </w:r>
      <w:r>
        <w:t>will</w:t>
      </w:r>
      <w:r>
        <w:rPr>
          <w:spacing w:val="-3"/>
        </w:rPr>
        <w:t xml:space="preserve"> </w:t>
      </w:r>
      <w:r>
        <w:t>create</w:t>
      </w:r>
      <w:r>
        <w:rPr>
          <w:spacing w:val="-3"/>
        </w:rPr>
        <w:t xml:space="preserve"> </w:t>
      </w:r>
      <w:r>
        <w:t>nets</w:t>
      </w:r>
      <w:r>
        <w:rPr>
          <w:spacing w:val="-4"/>
        </w:rPr>
        <w:t xml:space="preserve"> </w:t>
      </w:r>
      <w:r>
        <w:t>of common</w:t>
      </w:r>
      <w:r>
        <w:rPr>
          <w:spacing w:val="-4"/>
        </w:rPr>
        <w:t xml:space="preserve"> </w:t>
      </w:r>
      <w:r>
        <w:t>3-D</w:t>
      </w:r>
      <w:r>
        <w:rPr>
          <w:spacing w:val="-2"/>
        </w:rPr>
        <w:t xml:space="preserve"> </w:t>
      </w:r>
      <w:r>
        <w:t>shapes.</w:t>
      </w:r>
      <w:r>
        <w:rPr>
          <w:spacing w:val="-3"/>
        </w:rPr>
        <w:t xml:space="preserve"> </w:t>
      </w:r>
      <w:r>
        <w:t>They</w:t>
      </w:r>
      <w:r>
        <w:rPr>
          <w:spacing w:val="-5"/>
        </w:rPr>
        <w:t xml:space="preserve"> </w:t>
      </w:r>
      <w:r>
        <w:t>will consolidate</w:t>
      </w:r>
      <w:r>
        <w:rPr>
          <w:spacing w:val="-1"/>
        </w:rPr>
        <w:t xml:space="preserve"> </w:t>
      </w:r>
      <w:r>
        <w:t>their knowledge of angles within shapes and extend it to find missing angles in triangles, quadrilaterals</w:t>
      </w:r>
      <w:r>
        <w:rPr>
          <w:spacing w:val="-4"/>
        </w:rPr>
        <w:t xml:space="preserve"> </w:t>
      </w:r>
      <w:r>
        <w:t>and</w:t>
      </w:r>
      <w:r>
        <w:rPr>
          <w:spacing w:val="-4"/>
        </w:rPr>
        <w:t xml:space="preserve"> </w:t>
      </w:r>
      <w:r>
        <w:t>regular</w:t>
      </w:r>
      <w:r>
        <w:rPr>
          <w:spacing w:val="-5"/>
        </w:rPr>
        <w:t xml:space="preserve"> </w:t>
      </w:r>
      <w:r>
        <w:t>polygons. Children</w:t>
      </w:r>
      <w:r>
        <w:rPr>
          <w:spacing w:val="-5"/>
        </w:rPr>
        <w:t xml:space="preserve"> </w:t>
      </w:r>
      <w:r>
        <w:t>name</w:t>
      </w:r>
      <w:r>
        <w:rPr>
          <w:spacing w:val="-4"/>
        </w:rPr>
        <w:t xml:space="preserve"> </w:t>
      </w:r>
      <w:r>
        <w:t>parts</w:t>
      </w:r>
      <w:r>
        <w:rPr>
          <w:spacing w:val="-4"/>
        </w:rPr>
        <w:t xml:space="preserve"> </w:t>
      </w:r>
      <w:r>
        <w:t>of</w:t>
      </w:r>
      <w:r>
        <w:rPr>
          <w:spacing w:val="-4"/>
        </w:rPr>
        <w:t xml:space="preserve"> </w:t>
      </w:r>
      <w:r>
        <w:t>circles,</w:t>
      </w:r>
      <w:r>
        <w:rPr>
          <w:spacing w:val="-3"/>
        </w:rPr>
        <w:t xml:space="preserve"> </w:t>
      </w:r>
      <w:r>
        <w:t>including</w:t>
      </w:r>
      <w:r>
        <w:rPr>
          <w:spacing w:val="-5"/>
        </w:rPr>
        <w:t xml:space="preserve"> </w:t>
      </w:r>
      <w:r>
        <w:t>radius, diameter</w:t>
      </w:r>
      <w:r>
        <w:rPr>
          <w:spacing w:val="-5"/>
        </w:rPr>
        <w:t xml:space="preserve"> </w:t>
      </w:r>
      <w:r>
        <w:t>and</w:t>
      </w:r>
      <w:r>
        <w:rPr>
          <w:spacing w:val="-2"/>
        </w:rPr>
        <w:t xml:space="preserve"> </w:t>
      </w:r>
      <w:r>
        <w:t>circumference,</w:t>
      </w:r>
      <w:r>
        <w:rPr>
          <w:spacing w:val="-2"/>
        </w:rPr>
        <w:t xml:space="preserve"> </w:t>
      </w:r>
      <w:r>
        <w:t>and</w:t>
      </w:r>
      <w:r>
        <w:rPr>
          <w:spacing w:val="-2"/>
        </w:rPr>
        <w:t xml:space="preserve"> </w:t>
      </w:r>
      <w:r>
        <w:t>explore</w:t>
      </w:r>
      <w:r>
        <w:rPr>
          <w:spacing w:val="-2"/>
        </w:rPr>
        <w:t xml:space="preserve"> </w:t>
      </w:r>
      <w:r>
        <w:t>the</w:t>
      </w:r>
      <w:r>
        <w:rPr>
          <w:spacing w:val="-2"/>
        </w:rPr>
        <w:t xml:space="preserve"> </w:t>
      </w:r>
      <w:r>
        <w:t>relationships</w:t>
      </w:r>
      <w:r>
        <w:rPr>
          <w:spacing w:val="-2"/>
        </w:rPr>
        <w:t xml:space="preserve"> </w:t>
      </w:r>
      <w:r>
        <w:t>between</w:t>
      </w:r>
      <w:r>
        <w:rPr>
          <w:spacing w:val="-2"/>
        </w:rPr>
        <w:t xml:space="preserve"> </w:t>
      </w:r>
      <w:r>
        <w:t>these</w:t>
      </w:r>
      <w:r>
        <w:rPr>
          <w:spacing w:val="-4"/>
        </w:rPr>
        <w:t xml:space="preserve"> </w:t>
      </w:r>
      <w:r>
        <w:t>elements. Children will use four quadrant co-ordinate grids to describe positions, draw and translate simple shapes. Using their knowledge of the properties of shape, they will be able to predict missing co-ordinates and express these algebraically.</w:t>
      </w:r>
    </w:p>
    <w:p w14:paraId="11D19100" w14:textId="77777777" w:rsidR="000A4624" w:rsidRDefault="000A4624">
      <w:pPr>
        <w:pStyle w:val="BodyText"/>
        <w:ind w:left="0"/>
      </w:pPr>
    </w:p>
    <w:p w14:paraId="11D19101" w14:textId="77777777" w:rsidR="000A4624" w:rsidRDefault="00752218">
      <w:pPr>
        <w:pStyle w:val="Heading1"/>
      </w:pPr>
      <w:r>
        <w:rPr>
          <w:spacing w:val="-2"/>
        </w:rPr>
        <w:t>Statistics</w:t>
      </w:r>
    </w:p>
    <w:p w14:paraId="11D19102" w14:textId="77777777" w:rsidR="000A4624" w:rsidRDefault="00752218">
      <w:pPr>
        <w:pStyle w:val="BodyText"/>
        <w:spacing w:before="94"/>
        <w:ind w:right="150"/>
      </w:pPr>
      <w:r>
        <w:t>Children will increase their knowledge of different data representations to include interpreting</w:t>
      </w:r>
      <w:r>
        <w:rPr>
          <w:spacing w:val="-4"/>
        </w:rPr>
        <w:t xml:space="preserve"> </w:t>
      </w:r>
      <w:r>
        <w:t>and</w:t>
      </w:r>
      <w:r>
        <w:rPr>
          <w:spacing w:val="-3"/>
        </w:rPr>
        <w:t xml:space="preserve"> </w:t>
      </w:r>
      <w:r>
        <w:t>constructing</w:t>
      </w:r>
      <w:r>
        <w:rPr>
          <w:spacing w:val="-5"/>
        </w:rPr>
        <w:t xml:space="preserve"> </w:t>
      </w:r>
      <w:r>
        <w:t>pie</w:t>
      </w:r>
      <w:r>
        <w:rPr>
          <w:spacing w:val="-3"/>
        </w:rPr>
        <w:t xml:space="preserve"> </w:t>
      </w:r>
      <w:r>
        <w:t>charts</w:t>
      </w:r>
      <w:r>
        <w:rPr>
          <w:spacing w:val="-3"/>
        </w:rPr>
        <w:t xml:space="preserve"> </w:t>
      </w:r>
      <w:r>
        <w:t>(using</w:t>
      </w:r>
      <w:r>
        <w:rPr>
          <w:spacing w:val="-5"/>
        </w:rPr>
        <w:t xml:space="preserve"> </w:t>
      </w:r>
      <w:r>
        <w:t>their</w:t>
      </w:r>
      <w:r>
        <w:rPr>
          <w:spacing w:val="-5"/>
        </w:rPr>
        <w:t xml:space="preserve"> </w:t>
      </w:r>
      <w:r>
        <w:t>knowledge</w:t>
      </w:r>
      <w:r>
        <w:rPr>
          <w:spacing w:val="-3"/>
        </w:rPr>
        <w:t xml:space="preserve"> </w:t>
      </w:r>
      <w:r>
        <w:t>of</w:t>
      </w:r>
      <w:r>
        <w:rPr>
          <w:spacing w:val="-3"/>
        </w:rPr>
        <w:t xml:space="preserve"> </w:t>
      </w:r>
      <w:r>
        <w:t>angles,</w:t>
      </w:r>
      <w:r>
        <w:rPr>
          <w:spacing w:val="-5"/>
        </w:rPr>
        <w:t xml:space="preserve"> </w:t>
      </w:r>
      <w:r>
        <w:t>fractions and percentages) and line graphs (</w:t>
      </w:r>
      <w:proofErr w:type="gramStart"/>
      <w:r>
        <w:t>e.g.</w:t>
      </w:r>
      <w:proofErr w:type="gramEnd"/>
      <w:r>
        <w:t xml:space="preserve"> miles to km conversion). They will know when it is appropriate to use the mean as an average and how to calculate it.</w:t>
      </w:r>
    </w:p>
    <w:sectPr w:rsidR="000A4624">
      <w:pgSz w:w="11910" w:h="16840"/>
      <w:pgMar w:top="1340" w:right="13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altName w:val="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F0CD1"/>
    <w:multiLevelType w:val="hybridMultilevel"/>
    <w:tmpl w:val="D1E6DBB4"/>
    <w:lvl w:ilvl="0" w:tplc="01D8F824">
      <w:numFmt w:val="bullet"/>
      <w:lvlText w:val="•"/>
      <w:lvlJc w:val="left"/>
      <w:pPr>
        <w:ind w:left="1533" w:hanging="356"/>
      </w:pPr>
      <w:rPr>
        <w:rFonts w:ascii="Verdana" w:eastAsia="Verdana" w:hAnsi="Verdana" w:cs="Verdana" w:hint="default"/>
        <w:b w:val="0"/>
        <w:bCs w:val="0"/>
        <w:i w:val="0"/>
        <w:iCs w:val="0"/>
        <w:w w:val="84"/>
        <w:sz w:val="24"/>
        <w:szCs w:val="24"/>
        <w:lang w:val="en-US" w:eastAsia="en-US" w:bidi="ar-SA"/>
      </w:rPr>
    </w:lvl>
    <w:lvl w:ilvl="1" w:tplc="1F52057C">
      <w:numFmt w:val="bullet"/>
      <w:lvlText w:val="•"/>
      <w:lvlJc w:val="left"/>
      <w:pPr>
        <w:ind w:left="2304" w:hanging="356"/>
      </w:pPr>
      <w:rPr>
        <w:rFonts w:hint="default"/>
        <w:lang w:val="en-US" w:eastAsia="en-US" w:bidi="ar-SA"/>
      </w:rPr>
    </w:lvl>
    <w:lvl w:ilvl="2" w:tplc="DA1AC724">
      <w:numFmt w:val="bullet"/>
      <w:lvlText w:val="•"/>
      <w:lvlJc w:val="left"/>
      <w:pPr>
        <w:ind w:left="3069" w:hanging="356"/>
      </w:pPr>
      <w:rPr>
        <w:rFonts w:hint="default"/>
        <w:lang w:val="en-US" w:eastAsia="en-US" w:bidi="ar-SA"/>
      </w:rPr>
    </w:lvl>
    <w:lvl w:ilvl="3" w:tplc="3B4E9A38">
      <w:numFmt w:val="bullet"/>
      <w:lvlText w:val="•"/>
      <w:lvlJc w:val="left"/>
      <w:pPr>
        <w:ind w:left="3833" w:hanging="356"/>
      </w:pPr>
      <w:rPr>
        <w:rFonts w:hint="default"/>
        <w:lang w:val="en-US" w:eastAsia="en-US" w:bidi="ar-SA"/>
      </w:rPr>
    </w:lvl>
    <w:lvl w:ilvl="4" w:tplc="F596FB3A">
      <w:numFmt w:val="bullet"/>
      <w:lvlText w:val="•"/>
      <w:lvlJc w:val="left"/>
      <w:pPr>
        <w:ind w:left="4598" w:hanging="356"/>
      </w:pPr>
      <w:rPr>
        <w:rFonts w:hint="default"/>
        <w:lang w:val="en-US" w:eastAsia="en-US" w:bidi="ar-SA"/>
      </w:rPr>
    </w:lvl>
    <w:lvl w:ilvl="5" w:tplc="63C4B1AA">
      <w:numFmt w:val="bullet"/>
      <w:lvlText w:val="•"/>
      <w:lvlJc w:val="left"/>
      <w:pPr>
        <w:ind w:left="5363" w:hanging="356"/>
      </w:pPr>
      <w:rPr>
        <w:rFonts w:hint="default"/>
        <w:lang w:val="en-US" w:eastAsia="en-US" w:bidi="ar-SA"/>
      </w:rPr>
    </w:lvl>
    <w:lvl w:ilvl="6" w:tplc="57F0E378">
      <w:numFmt w:val="bullet"/>
      <w:lvlText w:val="•"/>
      <w:lvlJc w:val="left"/>
      <w:pPr>
        <w:ind w:left="6127" w:hanging="356"/>
      </w:pPr>
      <w:rPr>
        <w:rFonts w:hint="default"/>
        <w:lang w:val="en-US" w:eastAsia="en-US" w:bidi="ar-SA"/>
      </w:rPr>
    </w:lvl>
    <w:lvl w:ilvl="7" w:tplc="19B22480">
      <w:numFmt w:val="bullet"/>
      <w:lvlText w:val="•"/>
      <w:lvlJc w:val="left"/>
      <w:pPr>
        <w:ind w:left="6892" w:hanging="356"/>
      </w:pPr>
      <w:rPr>
        <w:rFonts w:hint="default"/>
        <w:lang w:val="en-US" w:eastAsia="en-US" w:bidi="ar-SA"/>
      </w:rPr>
    </w:lvl>
    <w:lvl w:ilvl="8" w:tplc="AD2AC450">
      <w:numFmt w:val="bullet"/>
      <w:lvlText w:val="•"/>
      <w:lvlJc w:val="left"/>
      <w:pPr>
        <w:ind w:left="7657" w:hanging="356"/>
      </w:pPr>
      <w:rPr>
        <w:rFonts w:hint="default"/>
        <w:lang w:val="en-US" w:eastAsia="en-US" w:bidi="ar-SA"/>
      </w:rPr>
    </w:lvl>
  </w:abstractNum>
  <w:num w:numId="1" w16cid:durableId="88353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A4624"/>
    <w:rsid w:val="000A4624"/>
    <w:rsid w:val="00600DD8"/>
    <w:rsid w:val="0075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90E2"/>
  <w15:docId w15:val="{791E7EC4-3266-4560-85E3-26600C79C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Title">
    <w:name w:val="Title"/>
    <w:basedOn w:val="Normal"/>
    <w:uiPriority w:val="10"/>
    <w:qFormat/>
    <w:pPr>
      <w:spacing w:before="1"/>
      <w:ind w:left="2262" w:right="2223"/>
      <w:jc w:val="center"/>
    </w:pPr>
    <w:rPr>
      <w:b/>
      <w:bCs/>
      <w:sz w:val="28"/>
      <w:szCs w:val="28"/>
    </w:rPr>
  </w:style>
  <w:style w:type="paragraph" w:styleId="ListParagraph">
    <w:name w:val="List Paragraph"/>
    <w:basedOn w:val="Normal"/>
    <w:uiPriority w:val="1"/>
    <w:qFormat/>
    <w:pPr>
      <w:spacing w:before="92"/>
      <w:ind w:left="1533" w:hanging="35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637</Words>
  <Characters>3634</Characters>
  <Application>Microsoft Office Word</Application>
  <DocSecurity>0</DocSecurity>
  <Lines>30</Lines>
  <Paragraphs>8</Paragraphs>
  <ScaleCrop>false</ScaleCrop>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Year 6 Learner</dc:title>
  <dc:subject>new curriculum mathematics schools website guidance for parents</dc:subject>
  <dc:creator>HfL Maths</dc:creator>
  <cp:keywords>new curriculum, mathematics, schools website, guidance for parents</cp:keywords>
  <cp:lastModifiedBy>Nicola Webb</cp:lastModifiedBy>
  <cp:revision>3</cp:revision>
  <dcterms:created xsi:type="dcterms:W3CDTF">2022-08-30T10:46:00Z</dcterms:created>
  <dcterms:modified xsi:type="dcterms:W3CDTF">2022-09-01T12:05:00Z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2014-09-30T00:00:00Z</vt:filetime>
  </property>
  <property fmtid="{D5CDD505-2E9C-101B-9397-08002B2CF9AE}" pid="3" name="Creator">
    <vt:lpwstr>Microsoft® Word 2010</vt:lpwstr>
  </property>
  <property fmtid="{D5CDD505-2E9C-101B-9397-08002B2CF9AE}" pid="4" name="LastSaved">
    <vt:filetime>2022-08-30T00:00:00Z</vt:filetime>
  </property>
  <property fmtid="{D5CDD505-2E9C-101B-9397-08002B2CF9AE}" pid="5" name="Producer">
    <vt:lpwstr>Microsoft® Word 2010</vt:lpwstr>
  </property>
</Properties>
</file>